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auto"/>
      </w:pPr>
      <w:r>
        <w:rPr>
          <w:rFonts w:hint="eastAsia"/>
        </w:rPr>
        <w:t>开通</w:t>
      </w:r>
      <w:r>
        <w:t>逛街商户收付款</w:t>
      </w:r>
      <w:r>
        <w:rPr>
          <w:rFonts w:hint="eastAsia"/>
        </w:rPr>
        <w:t>功能</w:t>
      </w:r>
      <w:r>
        <w:t>说明</w:t>
      </w:r>
    </w:p>
    <w:p>
      <w:pPr>
        <w:pStyle w:val="2"/>
        <w:spacing w:before="240" w:after="60" w:line="520" w:lineRule="exact"/>
        <w:rPr>
          <w:rFonts w:ascii="微软雅黑" w:hAnsi="微软雅黑" w:eastAsia="微软雅黑" w:cs="微软雅黑 Light"/>
          <w:sz w:val="28"/>
          <w:szCs w:val="28"/>
        </w:rPr>
      </w:pPr>
      <w:r>
        <w:rPr>
          <w:rFonts w:ascii="微软雅黑" w:hAnsi="微软雅黑" w:eastAsia="微软雅黑" w:cs="微软雅黑 Light"/>
          <w:color w:val="000000"/>
          <w:sz w:val="28"/>
          <w:szCs w:val="28"/>
        </w:rPr>
        <w:t>开通易货积分收款权限流程</w:t>
      </w:r>
    </w:p>
    <w:p>
      <w:pPr>
        <w:pStyle w:val="9"/>
        <w:numPr>
          <w:ilvl w:val="0"/>
          <w:numId w:val="1"/>
        </w:numPr>
        <w:spacing w:line="520" w:lineRule="exact"/>
        <w:ind w:hangingChars="150"/>
        <w:rPr>
          <w:rFonts w:ascii="微软雅黑" w:hAnsi="微软雅黑" w:eastAsia="微软雅黑" w:cs="微软雅黑 Light"/>
          <w:sz w:val="28"/>
          <w:szCs w:val="28"/>
        </w:rPr>
      </w:pPr>
      <w:r>
        <w:rPr>
          <w:rFonts w:ascii="微软雅黑" w:hAnsi="微软雅黑" w:eastAsia="微软雅黑" w:cs="微软雅黑 Light"/>
          <w:color w:val="494949"/>
          <w:sz w:val="28"/>
          <w:szCs w:val="28"/>
        </w:rPr>
        <w:t>商户开通易货积分收款功能，请明确已详细了解易货积分的使用和流通规则，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请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严格遵守平台的相关规定；</w:t>
      </w:r>
    </w:p>
    <w:p>
      <w:pPr>
        <w:pStyle w:val="9"/>
        <w:numPr>
          <w:ilvl w:val="0"/>
          <w:numId w:val="1"/>
        </w:numPr>
        <w:spacing w:line="520" w:lineRule="exact"/>
        <w:ind w:hangingChars="150"/>
        <w:rPr>
          <w:rFonts w:ascii="微软雅黑" w:hAnsi="微软雅黑" w:eastAsia="微软雅黑" w:cs="微软雅黑 Light"/>
          <w:sz w:val="28"/>
          <w:szCs w:val="28"/>
        </w:rPr>
      </w:pP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商户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所在城市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的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集团公司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和运营中心均可接受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申请，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商户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申请时请提供以下资料（商户编号、商户名称、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联系人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、联系电话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、联系地址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）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给集团公司或运营中心进行填表；</w:t>
      </w:r>
    </w:p>
    <w:p>
      <w:pPr>
        <w:pStyle w:val="9"/>
        <w:numPr>
          <w:ilvl w:val="0"/>
          <w:numId w:val="1"/>
        </w:numPr>
        <w:spacing w:line="520" w:lineRule="exact"/>
        <w:ind w:hangingChars="150"/>
        <w:rPr>
          <w:rFonts w:hint="eastAsia" w:ascii="微软雅黑" w:hAnsi="微软雅黑" w:eastAsia="微软雅黑" w:cs="微软雅黑 Light"/>
          <w:sz w:val="28"/>
          <w:szCs w:val="28"/>
        </w:rPr>
      </w:pP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运营中心申报前请确保商户已加入内部供应链，并签订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  <w:lang w:eastAsia="zh-CN"/>
        </w:rPr>
        <w:t>《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  <w:lang w:val="en-US" w:eastAsia="zh-CN"/>
        </w:rPr>
        <w:t>内部供应链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  <w:lang w:eastAsia="zh-CN"/>
        </w:rPr>
        <w:t>》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合同；</w:t>
      </w:r>
    </w:p>
    <w:p>
      <w:pPr>
        <w:pStyle w:val="9"/>
        <w:numPr>
          <w:ilvl w:val="0"/>
          <w:numId w:val="1"/>
        </w:numPr>
        <w:spacing w:line="520" w:lineRule="exact"/>
        <w:ind w:hangingChars="150"/>
        <w:rPr>
          <w:rFonts w:ascii="微软雅黑" w:hAnsi="微软雅黑" w:eastAsia="微软雅黑" w:cs="微软雅黑 Light"/>
          <w:sz w:val="28"/>
          <w:szCs w:val="28"/>
        </w:rPr>
      </w:pP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商户递交申请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的同时，需向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申请单位绑定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收款设备，设备全国统一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成本价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289元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，每月服务费18元，服务费由系统自动在账户余额中扣除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，未购买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收款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设备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并激活设备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的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不能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通过审核；</w:t>
      </w:r>
    </w:p>
    <w:p>
      <w:pPr>
        <w:pStyle w:val="9"/>
        <w:numPr>
          <w:ilvl w:val="0"/>
          <w:numId w:val="1"/>
        </w:numPr>
        <w:spacing w:line="520" w:lineRule="exact"/>
        <w:ind w:hangingChars="150"/>
        <w:rPr>
          <w:rFonts w:ascii="微软雅黑" w:hAnsi="微软雅黑" w:eastAsia="微软雅黑" w:cs="微软雅黑 Light"/>
          <w:sz w:val="28"/>
          <w:szCs w:val="28"/>
        </w:rPr>
      </w:pPr>
      <w:r>
        <w:rPr>
          <w:rFonts w:ascii="微软雅黑" w:hAnsi="微软雅黑" w:eastAsia="微软雅黑" w:cs="微软雅黑 Light"/>
          <w:color w:val="494949"/>
          <w:sz w:val="28"/>
          <w:szCs w:val="28"/>
        </w:rPr>
        <w:t>递交申请完成并购买收款设备，申请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单位上报平台后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将在48小时内完成审核，审核通过后即可使用收付款功能；</w:t>
      </w:r>
    </w:p>
    <w:p>
      <w:pPr>
        <w:pStyle w:val="9"/>
        <w:widowControl w:val="0"/>
        <w:numPr>
          <w:numId w:val="0"/>
        </w:numPr>
        <w:spacing w:line="520" w:lineRule="exact"/>
        <w:jc w:val="both"/>
        <w:rPr>
          <w:rFonts w:ascii="微软雅黑" w:hAnsi="微软雅黑" w:eastAsia="微软雅黑" w:cs="微软雅黑 Light"/>
          <w:color w:val="494949"/>
          <w:sz w:val="28"/>
          <w:szCs w:val="28"/>
        </w:rPr>
      </w:pPr>
    </w:p>
    <w:p>
      <w:pPr>
        <w:pStyle w:val="9"/>
        <w:widowControl w:val="0"/>
        <w:numPr>
          <w:numId w:val="0"/>
        </w:numPr>
        <w:spacing w:line="520" w:lineRule="exact"/>
        <w:jc w:val="both"/>
        <w:rPr>
          <w:rFonts w:ascii="微软雅黑" w:hAnsi="微软雅黑" w:eastAsia="微软雅黑" w:cs="微软雅黑 Light"/>
          <w:color w:val="494949"/>
          <w:sz w:val="28"/>
          <w:szCs w:val="28"/>
        </w:rPr>
      </w:pPr>
      <w:bookmarkStart w:id="0" w:name="_GoBack"/>
      <w:bookmarkEnd w:id="0"/>
    </w:p>
    <w:p>
      <w:pPr>
        <w:pStyle w:val="9"/>
        <w:widowControl w:val="0"/>
        <w:numPr>
          <w:numId w:val="0"/>
        </w:numPr>
        <w:spacing w:line="520" w:lineRule="exact"/>
        <w:jc w:val="both"/>
        <w:rPr>
          <w:rFonts w:ascii="微软雅黑" w:hAnsi="微软雅黑" w:eastAsia="微软雅黑" w:cs="微软雅黑 Light"/>
          <w:color w:val="494949"/>
          <w:sz w:val="28"/>
          <w:szCs w:val="28"/>
        </w:rPr>
      </w:pPr>
    </w:p>
    <w:p>
      <w:pPr>
        <w:pStyle w:val="9"/>
        <w:numPr>
          <w:numId w:val="0"/>
        </w:numPr>
        <w:spacing w:line="520" w:lineRule="exact"/>
        <w:ind w:leftChars="-150"/>
        <w:jc w:val="right"/>
        <w:rPr>
          <w:rFonts w:hint="eastAsia" w:ascii="微软雅黑" w:hAnsi="微软雅黑" w:eastAsia="微软雅黑" w:cs="微软雅黑 Light"/>
          <w:color w:val="494949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 Light"/>
          <w:color w:val="494949"/>
          <w:sz w:val="28"/>
          <w:szCs w:val="28"/>
          <w:lang w:val="en-US" w:eastAsia="zh-CN"/>
        </w:rPr>
        <w:t>简兑天衡APP商城</w:t>
      </w:r>
    </w:p>
    <w:p>
      <w:pPr>
        <w:pStyle w:val="9"/>
        <w:numPr>
          <w:numId w:val="0"/>
        </w:numPr>
        <w:tabs>
          <w:tab w:val="left" w:pos="3292"/>
          <w:tab w:val="center" w:pos="4058"/>
        </w:tabs>
        <w:spacing w:line="520" w:lineRule="exact"/>
        <w:ind w:leftChars="-150"/>
        <w:jc w:val="left"/>
        <w:rPr>
          <w:rFonts w:hint="default" w:ascii="微软雅黑" w:hAnsi="微软雅黑" w:eastAsia="微软雅黑" w:cs="微软雅黑 Light"/>
          <w:color w:val="494949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 Light"/>
          <w:color w:val="494949"/>
          <w:sz w:val="28"/>
          <w:szCs w:val="28"/>
          <w:lang w:val="en-US" w:eastAsia="zh-CN"/>
        </w:rPr>
        <w:tab/>
        <w:t xml:space="preserve">                       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  <w:lang w:val="en-US" w:eastAsia="zh-CN"/>
        </w:rPr>
        <w:tab/>
        <w:t>2024.4.15</w:t>
      </w:r>
    </w:p>
    <w:p>
      <w:pPr>
        <w:pStyle w:val="9"/>
        <w:numPr>
          <w:numId w:val="0"/>
        </w:numPr>
        <w:spacing w:line="520" w:lineRule="exact"/>
        <w:ind w:leftChars="-150"/>
        <w:jc w:val="right"/>
        <w:rPr>
          <w:rFonts w:hint="default" w:ascii="微软雅黑" w:hAnsi="微软雅黑" w:eastAsia="微软雅黑" w:cs="微软雅黑 Light"/>
          <w:color w:val="494949"/>
          <w:sz w:val="28"/>
          <w:szCs w:val="28"/>
          <w:lang w:val="en-US" w:eastAsia="zh-CN"/>
        </w:rPr>
      </w:pPr>
    </w:p>
    <w:sectPr>
      <w:pgSz w:w="11906" w:h="16838"/>
      <w:pgMar w:top="1440" w:right="1797" w:bottom="1440" w:left="1797" w:header="709" w:footer="992" w:gutter="0"/>
      <w:cols w:space="1701" w:num="1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BD02B9"/>
    <w:multiLevelType w:val="multilevel"/>
    <w:tmpl w:val="60BD02B9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.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.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.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VerticalDrawingGridEvery w:val="2"/>
  <w:characterSpacingControl w:val="compressPunctuation"/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kNzQ4ZWFiZmQ4NTRhOWRkZTk3YTMwMjlmMmZhYmUifQ=="/>
  </w:docVars>
  <w:rsids>
    <w:rsidRoot w:val="0045213E"/>
    <w:rsid w:val="001334A0"/>
    <w:rsid w:val="002908C0"/>
    <w:rsid w:val="002C3BDD"/>
    <w:rsid w:val="0045213E"/>
    <w:rsid w:val="00505EB0"/>
    <w:rsid w:val="0087014F"/>
    <w:rsid w:val="009D4CDB"/>
    <w:rsid w:val="00A47B87"/>
    <w:rsid w:val="00A7641F"/>
    <w:rsid w:val="00AA5D34"/>
    <w:rsid w:val="00B74B07"/>
    <w:rsid w:val="00D42FD0"/>
    <w:rsid w:val="00D521FD"/>
    <w:rsid w:val="00DD6A08"/>
    <w:rsid w:val="00F06E7B"/>
    <w:rsid w:val="00F125D4"/>
    <w:rsid w:val="05F92EF3"/>
    <w:rsid w:val="5455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en-US"/>
    </w:rPr>
  </w:style>
  <w:style w:type="paragraph" w:styleId="2">
    <w:name w:val="heading 1"/>
    <w:basedOn w:val="1"/>
    <w:next w:val="1"/>
    <w:link w:val="8"/>
    <w:qFormat/>
    <w:uiPriority w:val="9"/>
    <w:pPr>
      <w:spacing w:before="340" w:after="330" w:line="408" w:lineRule="auto"/>
      <w:outlineLvl w:val="0"/>
    </w:pPr>
    <w:rPr>
      <w:rFonts w:asciiTheme="majorHAnsi" w:hAnsiTheme="majorHAnsi" w:eastAsiaTheme="majorEastAsia" w:cstheme="majorBidi"/>
      <w:b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6"/>
    <w:qFormat/>
    <w:uiPriority w:val="10"/>
    <w:pPr>
      <w:spacing w:before="240" w:after="60" w:line="408" w:lineRule="auto"/>
      <w:jc w:val="center"/>
      <w:outlineLvl w:val="0"/>
    </w:pPr>
    <w:rPr>
      <w:rFonts w:asciiTheme="majorHAnsi" w:hAnsiTheme="majorHAnsi" w:eastAsiaTheme="majorEastAsia" w:cstheme="majorBidi"/>
      <w:b/>
      <w:color w:val="000000"/>
      <w:sz w:val="32"/>
      <w:szCs w:val="32"/>
    </w:rPr>
  </w:style>
  <w:style w:type="character" w:customStyle="1" w:styleId="6">
    <w:name w:val="标题 字符"/>
    <w:basedOn w:val="7"/>
    <w:link w:val="3"/>
    <w:qFormat/>
    <w:uiPriority w:val="10"/>
    <w:rPr>
      <w:rFonts w:asciiTheme="majorHAnsi" w:hAnsiTheme="majorHAnsi" w:eastAsiaTheme="majorEastAsia" w:cstheme="majorBidi"/>
      <w:b/>
      <w:color w:val="000000"/>
      <w:sz w:val="32"/>
      <w:szCs w:val="32"/>
    </w:rPr>
  </w:style>
  <w:style w:type="character" w:customStyle="1" w:styleId="7">
    <w:name w:val="original Paragraph Font"/>
    <w:unhideWhenUsed/>
    <w:qFormat/>
    <w:uiPriority w:val="1"/>
  </w:style>
  <w:style w:type="character" w:customStyle="1" w:styleId="8">
    <w:name w:val="标题 1 字符"/>
    <w:basedOn w:val="7"/>
    <w:link w:val="2"/>
    <w:qFormat/>
    <w:uiPriority w:val="9"/>
    <w:rPr>
      <w:rFonts w:asciiTheme="majorHAnsi" w:hAnsiTheme="majorHAnsi" w:eastAsiaTheme="majorEastAsia" w:cstheme="majorBidi"/>
      <w:b/>
      <w:sz w:val="44"/>
      <w:szCs w:val="44"/>
    </w:rPr>
  </w:style>
  <w:style w:type="paragraph" w:styleId="9">
    <w:name w:val="List Paragraph"/>
    <w:basedOn w:val="1"/>
    <w:qFormat/>
    <w:uiPriority w:val="34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Text" lastClr="000000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Noto Sans JP"/>
        <a:font script="Hang" typeface="맑은 고딕"/>
        <a:font script="Hans" typeface="微软雅黑"/>
        <a:font script="Hant" typeface="微软雅黑"/>
        <a:font script="Arab" typeface="Arial"/>
      </a:majorFont>
      <a:minorFont>
        <a:latin typeface="Arial"/>
        <a:ea typeface=""/>
        <a:cs typeface=""/>
        <a:font script="Jpan" typeface="Noto Sans JP"/>
        <a:font script="Hang" typeface="맑은 고딕"/>
        <a:font script="Hans" typeface="微软雅黑"/>
        <a:font script="Hant" typeface="微软雅黑"/>
        <a:font script="Arab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307</Characters>
  <Lines>2</Lines>
  <Paragraphs>1</Paragraphs>
  <TotalTime>38</TotalTime>
  <ScaleCrop>false</ScaleCrop>
  <LinksUpToDate>false</LinksUpToDate>
  <CharactersWithSpaces>307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2024-04-22T11:58:00Z</dcterms:created>
  <dc:creator>asus</dc:creator>
  <cp:lastModifiedBy>钟德兵</cp:lastModifiedBy>
  <dcterms:modified xsi:type="dcterms:W3CDTF">2024-04-29T07:15:57Z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AA5DFA214C844CFB92ED04DF2752B0AB_13</vt:lpwstr>
  </property>
</Properties>
</file>